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60B8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0" w:name="do"/>
      <w:r w:rsidRPr="007C5F06">
        <w:rPr>
          <w:rFonts w:ascii="Verdana" w:eastAsia="Times New Roman" w:hAnsi="Verdana" w:cs="Times New Roman"/>
          <w:b/>
          <w:bCs/>
          <w:noProof/>
          <w:color w:val="333399"/>
          <w:lang w:val="ro-RO" w:eastAsia="ro-RO"/>
        </w:rPr>
        <w:drawing>
          <wp:inline distT="0" distB="0" distL="0" distR="0" wp14:anchorId="4E497C3B" wp14:editId="742FC882">
            <wp:extent cx="95250" cy="95250"/>
            <wp:effectExtent l="0" t="0" r="0" b="0"/>
            <wp:docPr id="1" name="do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HOTĂRÂRE </w:t>
      </w:r>
      <w:bookmarkStart w:id="1" w:name="_Hlk61270951"/>
      <w:bookmarkStart w:id="2" w:name="_GoBack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nr. 1051 din 4 decembrie 2020 privind suplimentarea pe anul 2020 a sumei prevăzute ca justă despăgubire aprobată prin Hotărârea Guvernului nr. </w:t>
      </w:r>
      <w:hyperlink r:id="rId6" w:tooltip="privind declanşarea procedurilor de expropriere a imobilelor proprietate privată situate pe amplasamentul lucrării de utilitate publică ''Construcţia autostrăzii Bucureşti-Braşov, tronsonul Bucureşti-Ploieşti, pe teritoriul localităţilor Dascălu, Ştefăneştii de Jos şi Nuci, judeţul Ilfov'' (act publicat in M.Of. 329 din 25-apr-2008)" w:history="1">
        <w:r w:rsidRPr="007C5F06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val="ro-RO" w:eastAsia="ro-RO"/>
          </w:rPr>
          <w:t>425/2008</w:t>
        </w:r>
      </w:hyperlink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privind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declanşarea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procedurilor de expropriere a imobilelor proprietate privată situate pe amplasamentul lucrării de utilitate publică "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Construcţia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autostrăzii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Bucureşti-Braşov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, tronsonul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Bucureşti-Ploieşti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, pe teritoriul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localităţilor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Dascălu,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Ştefăneştii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de Jos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Nuci,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judeţul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Ilfov", precum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modificarea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completarea Hotărârii Guvernului nr. </w:t>
      </w:r>
      <w:hyperlink r:id="rId7" w:tooltip="privind declanşarea procedurilor de expropriere a imobilelor proprietate privată situate pe amplasamentul lucrării de utilitate publică ''Construcţia autostrăzii Bucureşti-Braşov, tronsonul Bucureşti-Ploieşti, pe teritoriul localităţilor Dascălu, Ştefăneştii de Jos şi Nuci, judeţul Ilfov'' (act publicat in M.Of. 329 din 25-apr-2008)" w:history="1">
        <w:r w:rsidRPr="007C5F06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val="ro-RO" w:eastAsia="ro-RO"/>
          </w:rPr>
          <w:t>425/2008</w:t>
        </w:r>
      </w:hyperlink>
    </w:p>
    <w:p w14:paraId="080869AF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3" w:name="do|pa1"/>
      <w:bookmarkEnd w:id="1"/>
      <w:bookmarkEnd w:id="3"/>
      <w:bookmarkEnd w:id="2"/>
      <w:r w:rsidRPr="007C5F06">
        <w:rPr>
          <w:rFonts w:ascii="Verdana" w:eastAsia="Times New Roman" w:hAnsi="Verdana" w:cs="Times New Roman"/>
          <w:lang w:val="ro-RO" w:eastAsia="ro-RO"/>
        </w:rPr>
        <w:t xml:space="preserve">Având în vedere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dispoziţiile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Hotărârii Guvernului nr. </w:t>
      </w:r>
      <w:hyperlink r:id="rId8" w:history="1">
        <w:r w:rsidRPr="007C5F06">
          <w:rPr>
            <w:rFonts w:ascii="Verdana" w:eastAsia="Times New Roman" w:hAnsi="Verdana" w:cs="Times New Roman"/>
            <w:b/>
            <w:bCs/>
            <w:color w:val="333399"/>
            <w:u w:val="single"/>
            <w:lang w:val="ro-RO" w:eastAsia="ro-RO"/>
          </w:rPr>
          <w:t>507/2006</w:t>
        </w:r>
      </w:hyperlink>
      <w:r w:rsidRPr="007C5F06">
        <w:rPr>
          <w:rFonts w:ascii="Verdana" w:eastAsia="Times New Roman" w:hAnsi="Verdana" w:cs="Times New Roman"/>
          <w:lang w:val="ro-RO" w:eastAsia="ro-RO"/>
        </w:rPr>
        <w:t xml:space="preserve"> pentru aprobarea indicatorilor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tehnico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-economici ai obiectivului de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investiţii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"Autostrada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Bucureşti-Braşov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km 0+000 - 173+300", cu modificările ulterioare,</w:t>
      </w:r>
    </w:p>
    <w:p w14:paraId="45CB1532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4" w:name="do|pa2"/>
      <w:bookmarkEnd w:id="4"/>
      <w:r w:rsidRPr="007C5F06">
        <w:rPr>
          <w:rFonts w:ascii="Verdana" w:eastAsia="Times New Roman" w:hAnsi="Verdana" w:cs="Times New Roman"/>
          <w:lang w:val="ro-RO" w:eastAsia="ro-RO"/>
        </w:rPr>
        <w:t xml:space="preserve">În temeiul art. 108 din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Constituţia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României, republicată,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al art. 5 alin. (1)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art. 8 alin. (3) din Legea nr. </w:t>
      </w:r>
      <w:hyperlink r:id="rId9" w:history="1">
        <w:r w:rsidRPr="007C5F06">
          <w:rPr>
            <w:rFonts w:ascii="Verdana" w:eastAsia="Times New Roman" w:hAnsi="Verdana" w:cs="Times New Roman"/>
            <w:b/>
            <w:bCs/>
            <w:color w:val="333399"/>
            <w:u w:val="single"/>
            <w:lang w:val="ro-RO" w:eastAsia="ro-RO"/>
          </w:rPr>
          <w:t>255/2010</w:t>
        </w:r>
      </w:hyperlink>
      <w:r w:rsidRPr="007C5F06">
        <w:rPr>
          <w:rFonts w:ascii="Verdana" w:eastAsia="Times New Roman" w:hAnsi="Verdana" w:cs="Times New Roman"/>
          <w:lang w:val="ro-RO" w:eastAsia="ro-RO"/>
        </w:rPr>
        <w:t xml:space="preserve"> privind exproprierea pentru cauză de utilitate publică, necesară realizării unor obiective de interes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naţional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,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judeţean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local, cu modificările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completările ulterioare,</w:t>
      </w:r>
    </w:p>
    <w:p w14:paraId="1AF908F7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5" w:name="do|pa3"/>
      <w:bookmarkEnd w:id="5"/>
      <w:r w:rsidRPr="007C5F06">
        <w:rPr>
          <w:rFonts w:ascii="Verdana" w:eastAsia="Times New Roman" w:hAnsi="Verdana" w:cs="Times New Roman"/>
          <w:b/>
          <w:bCs/>
          <w:lang w:val="ro-RO" w:eastAsia="ro-RO"/>
        </w:rPr>
        <w:t>Guvernul României</w:t>
      </w:r>
      <w:r w:rsidRPr="007C5F06">
        <w:rPr>
          <w:rFonts w:ascii="Verdana" w:eastAsia="Times New Roman" w:hAnsi="Verdana" w:cs="Times New Roman"/>
          <w:lang w:val="ro-RO" w:eastAsia="ro-RO"/>
        </w:rPr>
        <w:t xml:space="preserve"> adoptă prezenta hotărâre.</w:t>
      </w:r>
    </w:p>
    <w:p w14:paraId="5ED9B17D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6" w:name="do|arI"/>
      <w:r w:rsidRPr="007C5F06">
        <w:rPr>
          <w:rFonts w:ascii="Verdana" w:eastAsia="Times New Roman" w:hAnsi="Verdana" w:cs="Times New Roman"/>
          <w:b/>
          <w:bCs/>
          <w:noProof/>
          <w:color w:val="333399"/>
          <w:lang w:val="ro-RO" w:eastAsia="ro-RO"/>
        </w:rPr>
        <w:drawing>
          <wp:inline distT="0" distB="0" distL="0" distR="0" wp14:anchorId="682C24B3" wp14:editId="0088E270">
            <wp:extent cx="95250" cy="95250"/>
            <wp:effectExtent l="0" t="0" r="0" b="0"/>
            <wp:docPr id="2" name="do|arI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7C5F06">
        <w:rPr>
          <w:rFonts w:ascii="Verdana" w:eastAsia="Times New Roman" w:hAnsi="Verdana" w:cs="Times New Roman"/>
          <w:b/>
          <w:bCs/>
          <w:color w:val="0000AF"/>
          <w:lang w:val="ro-RO" w:eastAsia="ro-RO"/>
        </w:rPr>
        <w:t>Art. I</w:t>
      </w:r>
    </w:p>
    <w:p w14:paraId="607AE65E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7" w:name="do|arI|pa1"/>
      <w:bookmarkEnd w:id="7"/>
      <w:r w:rsidRPr="007C5F06">
        <w:rPr>
          <w:rFonts w:ascii="Verdana" w:eastAsia="Times New Roman" w:hAnsi="Verdana" w:cs="Times New Roman"/>
          <w:lang w:val="ro-RO" w:eastAsia="ro-RO"/>
        </w:rPr>
        <w:t xml:space="preserve">Se aprobă suplimentarea pe anul 2020 a sumei prevăzute ca justă despăgubire aprobată prin Hotărârea Guvernului nr. </w:t>
      </w:r>
      <w:hyperlink r:id="rId10" w:history="1">
        <w:r w:rsidRPr="007C5F06">
          <w:rPr>
            <w:rFonts w:ascii="Verdana" w:eastAsia="Times New Roman" w:hAnsi="Verdana" w:cs="Times New Roman"/>
            <w:b/>
            <w:bCs/>
            <w:color w:val="333399"/>
            <w:u w:val="single"/>
            <w:lang w:val="ro-RO" w:eastAsia="ro-RO"/>
          </w:rPr>
          <w:t>425/2008</w:t>
        </w:r>
      </w:hyperlink>
      <w:r w:rsidRPr="007C5F06">
        <w:rPr>
          <w:rFonts w:ascii="Verdana" w:eastAsia="Times New Roman" w:hAnsi="Verdana" w:cs="Times New Roman"/>
          <w:lang w:val="ro-RO" w:eastAsia="ro-RO"/>
        </w:rPr>
        <w:t xml:space="preserve"> privind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declanşarea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procedurilor de expropriere a imobilelor proprietate privată situate pe amplasamentul lucrării de utilitate publică "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Construcţia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autostrăzii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Bucureşti-Braşov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, tronsonul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Bucureşti-Ploieşti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, pe teritoriul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localităţilor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Dascălu,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Ştefăneştii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de Jos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Nuci,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judeţul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Ilfov", cu completările ulterioare, cu suma totală de 52,1 mii lei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se alocă de bugetul de stat, prin bugetul Ministerului Transporturilor, Infrastructurii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Comunicaţiilor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, în conformitate cu Legea bugetului de stat pe anul 2020 nr. 5/2020, cu modificările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completările ulterioare, la capitolul 84.01 "Transporturi", titlul 55 "Alte transferuri", articolul 55.01 "Transferuri interne", alineatul 55.01.12 "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Investiţii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ale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agenţilor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economici cu capital de stat".</w:t>
      </w:r>
    </w:p>
    <w:p w14:paraId="65E49BCF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8" w:name="do|arII"/>
      <w:r w:rsidRPr="007C5F06">
        <w:rPr>
          <w:rFonts w:ascii="Verdana" w:eastAsia="Times New Roman" w:hAnsi="Verdana" w:cs="Times New Roman"/>
          <w:b/>
          <w:bCs/>
          <w:noProof/>
          <w:color w:val="333399"/>
          <w:lang w:val="ro-RO" w:eastAsia="ro-RO"/>
        </w:rPr>
        <w:drawing>
          <wp:inline distT="0" distB="0" distL="0" distR="0" wp14:anchorId="1E639C62" wp14:editId="6E733032">
            <wp:extent cx="95250" cy="95250"/>
            <wp:effectExtent l="0" t="0" r="0" b="0"/>
            <wp:docPr id="3" name="do|arII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7C5F06">
        <w:rPr>
          <w:rFonts w:ascii="Verdana" w:eastAsia="Times New Roman" w:hAnsi="Verdana" w:cs="Times New Roman"/>
          <w:b/>
          <w:bCs/>
          <w:color w:val="0000AF"/>
          <w:lang w:val="ro-RO" w:eastAsia="ro-RO"/>
        </w:rPr>
        <w:t>Art. II</w:t>
      </w:r>
    </w:p>
    <w:p w14:paraId="0E3A311D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9" w:name="do|arII|pa1"/>
      <w:bookmarkEnd w:id="9"/>
      <w:r w:rsidRPr="007C5F06">
        <w:rPr>
          <w:rFonts w:ascii="Verdana" w:eastAsia="Times New Roman" w:hAnsi="Verdana" w:cs="Times New Roman"/>
          <w:lang w:val="ro-RO" w:eastAsia="ro-RO"/>
        </w:rPr>
        <w:t xml:space="preserve">Hotărârea Guvernului nr. </w:t>
      </w:r>
      <w:hyperlink r:id="rId11" w:history="1">
        <w:r w:rsidRPr="007C5F06">
          <w:rPr>
            <w:rFonts w:ascii="Verdana" w:eastAsia="Times New Roman" w:hAnsi="Verdana" w:cs="Times New Roman"/>
            <w:b/>
            <w:bCs/>
            <w:color w:val="333399"/>
            <w:u w:val="single"/>
            <w:lang w:val="ro-RO" w:eastAsia="ro-RO"/>
          </w:rPr>
          <w:t>425/2008</w:t>
        </w:r>
      </w:hyperlink>
      <w:r w:rsidRPr="007C5F06">
        <w:rPr>
          <w:rFonts w:ascii="Verdana" w:eastAsia="Times New Roman" w:hAnsi="Verdana" w:cs="Times New Roman"/>
          <w:lang w:val="ro-RO" w:eastAsia="ro-RO"/>
        </w:rPr>
        <w:t xml:space="preserve"> privind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declanşarea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procedurilor de expropriere a imobilelor proprietate privată situate pe amplasamentul lucrării de utilitate publică "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Construcţia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autostrăzii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Bucureşti-Braşov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, tronsonul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Bucureşti-Ploieşti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, pe teritoriul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localităţilor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Dascălu,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Ştefăneştii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de Jos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Nuci,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judeţul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Ilfov", publicată în Monitorul Oficial al României, Partea I, nr. 329 din 25 aprilie 2008, cu completările ulterioare, se modifică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se completează după cum urmează:</w:t>
      </w:r>
    </w:p>
    <w:p w14:paraId="697AE200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10" w:name="do|arII|pt1"/>
      <w:r w:rsidRPr="007C5F06">
        <w:rPr>
          <w:rFonts w:ascii="Verdana" w:eastAsia="Times New Roman" w:hAnsi="Verdana" w:cs="Times New Roman"/>
          <w:b/>
          <w:bCs/>
          <w:noProof/>
          <w:color w:val="333399"/>
          <w:lang w:val="ro-RO" w:eastAsia="ro-RO"/>
        </w:rPr>
        <w:drawing>
          <wp:inline distT="0" distB="0" distL="0" distR="0" wp14:anchorId="540CD647" wp14:editId="0B853771">
            <wp:extent cx="95250" cy="95250"/>
            <wp:effectExtent l="0" t="0" r="0" b="0"/>
            <wp:docPr id="4" name="do|arII|pt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pt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7C5F06">
        <w:rPr>
          <w:rFonts w:ascii="Verdana" w:eastAsia="Times New Roman" w:hAnsi="Verdana" w:cs="Times New Roman"/>
          <w:b/>
          <w:bCs/>
          <w:color w:val="8F0000"/>
          <w:lang w:val="ro-RO" w:eastAsia="ro-RO"/>
        </w:rPr>
        <w:t>1.</w:t>
      </w:r>
      <w:r w:rsidRPr="007C5F06">
        <w:rPr>
          <w:rFonts w:ascii="Verdana" w:eastAsia="Times New Roman" w:hAnsi="Verdana" w:cs="Times New Roman"/>
          <w:lang w:val="ro-RO" w:eastAsia="ro-RO"/>
        </w:rPr>
        <w:t>La articolul 2, după alineatul (2) se introduce un nou alineat, alineatul (3), cu următorul cuprins:</w:t>
      </w:r>
    </w:p>
    <w:p w14:paraId="2A3D0A3F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11" w:name="do|arII|pt1|pa1"/>
      <w:bookmarkEnd w:id="11"/>
      <w:r w:rsidRPr="007C5F06">
        <w:rPr>
          <w:rFonts w:ascii="Verdana" w:eastAsia="Times New Roman" w:hAnsi="Verdana" w:cs="Times New Roman"/>
          <w:lang w:val="ro-RO" w:eastAsia="ro-RO"/>
        </w:rPr>
        <w:t xml:space="preserve">"(3) Se aprobă lista cuprinzând imobilele proprietate privată supuse exproprierii, situate pe raza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localităţilor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Dascălu, Nuci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Ştefăneştii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de Jos din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judeţul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Ilfov, proprietarii sau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deţinătorii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acestora, precum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sumele individuale aferente despăgubirilor, prevăzută în anexa nr. 3."</w:t>
      </w:r>
    </w:p>
    <w:p w14:paraId="02BECA1D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12" w:name="do|arII|pt2"/>
      <w:r w:rsidRPr="007C5F06">
        <w:rPr>
          <w:rFonts w:ascii="Verdana" w:eastAsia="Times New Roman" w:hAnsi="Verdana" w:cs="Times New Roman"/>
          <w:b/>
          <w:bCs/>
          <w:noProof/>
          <w:color w:val="333399"/>
          <w:lang w:val="ro-RO" w:eastAsia="ro-RO"/>
        </w:rPr>
        <w:drawing>
          <wp:inline distT="0" distB="0" distL="0" distR="0" wp14:anchorId="10AC8EC5" wp14:editId="46EDCF31">
            <wp:extent cx="95250" cy="95250"/>
            <wp:effectExtent l="0" t="0" r="0" b="0"/>
            <wp:docPr id="5" name="do|arII|pt2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pt2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7C5F06">
        <w:rPr>
          <w:rFonts w:ascii="Verdana" w:eastAsia="Times New Roman" w:hAnsi="Verdana" w:cs="Times New Roman"/>
          <w:b/>
          <w:bCs/>
          <w:color w:val="8F0000"/>
          <w:lang w:val="ro-RO" w:eastAsia="ro-RO"/>
        </w:rPr>
        <w:t>2.</w:t>
      </w:r>
      <w:r w:rsidRPr="007C5F06">
        <w:rPr>
          <w:rFonts w:ascii="Verdana" w:eastAsia="Times New Roman" w:hAnsi="Verdana" w:cs="Times New Roman"/>
          <w:lang w:val="ro-RO" w:eastAsia="ro-RO"/>
        </w:rPr>
        <w:t xml:space="preserve">Articolul 7 se modifică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va avea următorul cuprins:</w:t>
      </w:r>
    </w:p>
    <w:p w14:paraId="6C5C68FD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13" w:name="do|arII|pt2|pa1"/>
      <w:bookmarkEnd w:id="13"/>
      <w:r w:rsidRPr="007C5F06">
        <w:rPr>
          <w:rFonts w:ascii="Verdana" w:eastAsia="Times New Roman" w:hAnsi="Verdana" w:cs="Times New Roman"/>
          <w:lang w:val="ro-RO" w:eastAsia="ro-RO"/>
        </w:rPr>
        <w:t>"Art. 7</w:t>
      </w:r>
    </w:p>
    <w:p w14:paraId="3034A36E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14" w:name="do|arII|pt2|pa2"/>
      <w:bookmarkEnd w:id="14"/>
      <w:r w:rsidRPr="007C5F06">
        <w:rPr>
          <w:rFonts w:ascii="Verdana" w:eastAsia="Times New Roman" w:hAnsi="Verdana" w:cs="Times New Roman"/>
          <w:lang w:val="ro-RO" w:eastAsia="ro-RO"/>
        </w:rPr>
        <w:t>Anexele nr. 1-3 fac parte integrantă din prezenta hotărâre."</w:t>
      </w:r>
    </w:p>
    <w:p w14:paraId="6E6E848E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15" w:name="do|arII|pt3"/>
      <w:bookmarkEnd w:id="15"/>
      <w:r w:rsidRPr="007C5F06">
        <w:rPr>
          <w:rFonts w:ascii="Verdana" w:eastAsia="Times New Roman" w:hAnsi="Verdana" w:cs="Times New Roman"/>
          <w:b/>
          <w:bCs/>
          <w:color w:val="8F0000"/>
          <w:lang w:val="ro-RO" w:eastAsia="ro-RO"/>
        </w:rPr>
        <w:t>3.</w:t>
      </w:r>
      <w:r w:rsidRPr="007C5F06">
        <w:rPr>
          <w:rFonts w:ascii="Verdana" w:eastAsia="Times New Roman" w:hAnsi="Verdana" w:cs="Times New Roman"/>
          <w:lang w:val="ro-RO" w:eastAsia="ro-RO"/>
        </w:rPr>
        <w:t>După anexa nr. 2 se introduce o nouă anexă, anexa nr. 3, având cuprinsul prevăzut în anexa la prezenta hotărâre.</w:t>
      </w:r>
    </w:p>
    <w:p w14:paraId="20E0345F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16" w:name="do|arIII"/>
      <w:r w:rsidRPr="007C5F06">
        <w:rPr>
          <w:rFonts w:ascii="Verdana" w:eastAsia="Times New Roman" w:hAnsi="Verdana" w:cs="Times New Roman"/>
          <w:b/>
          <w:bCs/>
          <w:noProof/>
          <w:color w:val="333399"/>
          <w:lang w:val="ro-RO" w:eastAsia="ro-RO"/>
        </w:rPr>
        <w:drawing>
          <wp:inline distT="0" distB="0" distL="0" distR="0" wp14:anchorId="2C326A69" wp14:editId="25290F4B">
            <wp:extent cx="95250" cy="95250"/>
            <wp:effectExtent l="0" t="0" r="0" b="0"/>
            <wp:docPr id="6" name="do|arIII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I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7C5F06">
        <w:rPr>
          <w:rFonts w:ascii="Verdana" w:eastAsia="Times New Roman" w:hAnsi="Verdana" w:cs="Times New Roman"/>
          <w:b/>
          <w:bCs/>
          <w:color w:val="0000AF"/>
          <w:lang w:val="ro-RO" w:eastAsia="ro-RO"/>
        </w:rPr>
        <w:t>Art. III</w:t>
      </w:r>
    </w:p>
    <w:p w14:paraId="5445F2DB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17" w:name="do|arIII|al1"/>
      <w:bookmarkEnd w:id="17"/>
      <w:r w:rsidRPr="007C5F06">
        <w:rPr>
          <w:rFonts w:ascii="Verdana" w:eastAsia="Times New Roman" w:hAnsi="Verdana" w:cs="Times New Roman"/>
          <w:b/>
          <w:bCs/>
          <w:color w:val="008F00"/>
          <w:lang w:val="ro-RO" w:eastAsia="ro-RO"/>
        </w:rPr>
        <w:t>(1)</w:t>
      </w:r>
      <w:r w:rsidRPr="007C5F06">
        <w:rPr>
          <w:rFonts w:ascii="Verdana" w:eastAsia="Times New Roman" w:hAnsi="Verdana" w:cs="Times New Roman"/>
          <w:lang w:val="ro-RO" w:eastAsia="ro-RO"/>
        </w:rPr>
        <w:t xml:space="preserve">Se aprobă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declanşarea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procedurii de expropriere pentru imobilele proprietate privată care fac parte din coridorul de expropriere aflat pe amplasamentul aprobat prin Hotărârea Guvernului nr. </w:t>
      </w:r>
      <w:hyperlink r:id="rId12" w:history="1">
        <w:r w:rsidRPr="007C5F06">
          <w:rPr>
            <w:rFonts w:ascii="Verdana" w:eastAsia="Times New Roman" w:hAnsi="Verdana" w:cs="Times New Roman"/>
            <w:b/>
            <w:bCs/>
            <w:color w:val="333399"/>
            <w:u w:val="single"/>
            <w:lang w:val="ro-RO" w:eastAsia="ro-RO"/>
          </w:rPr>
          <w:t>425/2008</w:t>
        </w:r>
      </w:hyperlink>
      <w:r w:rsidRPr="007C5F06">
        <w:rPr>
          <w:rFonts w:ascii="Verdana" w:eastAsia="Times New Roman" w:hAnsi="Verdana" w:cs="Times New Roman"/>
          <w:lang w:val="ro-RO" w:eastAsia="ro-RO"/>
        </w:rPr>
        <w:t xml:space="preserve">, cu modificările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completările ulterioare, prevăzute la art. II pct. 1.</w:t>
      </w:r>
    </w:p>
    <w:p w14:paraId="1A82AD4D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18" w:name="do|arIII|al2"/>
      <w:bookmarkEnd w:id="18"/>
      <w:r w:rsidRPr="007C5F06">
        <w:rPr>
          <w:rFonts w:ascii="Verdana" w:eastAsia="Times New Roman" w:hAnsi="Verdana" w:cs="Times New Roman"/>
          <w:b/>
          <w:bCs/>
          <w:color w:val="008F00"/>
          <w:lang w:val="ro-RO" w:eastAsia="ro-RO"/>
        </w:rPr>
        <w:t>(2)</w:t>
      </w:r>
      <w:r w:rsidRPr="007C5F06">
        <w:rPr>
          <w:rFonts w:ascii="Verdana" w:eastAsia="Times New Roman" w:hAnsi="Verdana" w:cs="Times New Roman"/>
          <w:lang w:val="ro-RO" w:eastAsia="ro-RO"/>
        </w:rPr>
        <w:t xml:space="preserve">Se aprobă lista cuprinzând imobilele proprietate privată supuse exproprierii, situate pe raza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localităţilor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Dascălu, Nuci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Ştefăneştii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de Jos din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judeţul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Ilfov, proprietarii sau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deţinătorii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acestora, precum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sumele individuale aferente despăgubirilor, prevăzută în anexa la prezenta hotărâre.</w:t>
      </w:r>
    </w:p>
    <w:p w14:paraId="223F3279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19" w:name="do|arIV"/>
      <w:r w:rsidRPr="007C5F06">
        <w:rPr>
          <w:rFonts w:ascii="Verdana" w:eastAsia="Times New Roman" w:hAnsi="Verdana" w:cs="Times New Roman"/>
          <w:b/>
          <w:bCs/>
          <w:noProof/>
          <w:color w:val="333399"/>
          <w:lang w:val="ro-RO" w:eastAsia="ro-RO"/>
        </w:rPr>
        <w:drawing>
          <wp:inline distT="0" distB="0" distL="0" distR="0" wp14:anchorId="333C7F39" wp14:editId="32E9726B">
            <wp:extent cx="95250" cy="95250"/>
            <wp:effectExtent l="0" t="0" r="0" b="0"/>
            <wp:docPr id="7" name="do|arIV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V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r w:rsidRPr="007C5F06">
        <w:rPr>
          <w:rFonts w:ascii="Verdana" w:eastAsia="Times New Roman" w:hAnsi="Verdana" w:cs="Times New Roman"/>
          <w:b/>
          <w:bCs/>
          <w:color w:val="0000AF"/>
          <w:lang w:val="ro-RO" w:eastAsia="ro-RO"/>
        </w:rPr>
        <w:t>Art. IV</w:t>
      </w:r>
    </w:p>
    <w:p w14:paraId="6D801B14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20" w:name="do|arIV|al1"/>
      <w:bookmarkEnd w:id="20"/>
      <w:r w:rsidRPr="007C5F06">
        <w:rPr>
          <w:rFonts w:ascii="Verdana" w:eastAsia="Times New Roman" w:hAnsi="Verdana" w:cs="Times New Roman"/>
          <w:b/>
          <w:bCs/>
          <w:color w:val="008F00"/>
          <w:lang w:val="ro-RO" w:eastAsia="ro-RO"/>
        </w:rPr>
        <w:lastRenderedPageBreak/>
        <w:t>(1)</w:t>
      </w:r>
      <w:r w:rsidRPr="007C5F06">
        <w:rPr>
          <w:rFonts w:ascii="Verdana" w:eastAsia="Times New Roman" w:hAnsi="Verdana" w:cs="Times New Roman"/>
          <w:lang w:val="ro-RO" w:eastAsia="ro-RO"/>
        </w:rPr>
        <w:t>Sumele suplimentate potrivit art. I sunt aferente justelor despăgubiri pentru imobilele proprietate privată expropriate conform art. III.</w:t>
      </w:r>
    </w:p>
    <w:p w14:paraId="669BC746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21" w:name="do|arIV|al2"/>
      <w:bookmarkEnd w:id="21"/>
      <w:r w:rsidRPr="007C5F06">
        <w:rPr>
          <w:rFonts w:ascii="Verdana" w:eastAsia="Times New Roman" w:hAnsi="Verdana" w:cs="Times New Roman"/>
          <w:b/>
          <w:bCs/>
          <w:color w:val="008F00"/>
          <w:lang w:val="ro-RO" w:eastAsia="ro-RO"/>
        </w:rPr>
        <w:t>(2)</w:t>
      </w:r>
      <w:r w:rsidRPr="007C5F06">
        <w:rPr>
          <w:rFonts w:ascii="Verdana" w:eastAsia="Times New Roman" w:hAnsi="Verdana" w:cs="Times New Roman"/>
          <w:lang w:val="ro-RO" w:eastAsia="ro-RO"/>
        </w:rPr>
        <w:t xml:space="preserve">Sumele individuale prevăzute la art. III alin. (2) se virează de către Ministerul Transporturilor, Infrastructurii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Comunicaţiilor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în termen de 30 de zile de la data solicitării acestora, într-un cont bancar deschis pe numele Companiei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Naţionale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de Administrare a Infrastructurii Rutiere - S.A., la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dispoziţia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proprietarilor de imobile proprietate privată, pentru lucrarea de utilitate publică, în vederea efectuării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plăţii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despăgubirilor în cadrul procedurilor de expropriere, în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condiţiile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legii.</w:t>
      </w:r>
    </w:p>
    <w:p w14:paraId="0138AFC3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22" w:name="do|arV"/>
      <w:r w:rsidRPr="007C5F06">
        <w:rPr>
          <w:rFonts w:ascii="Verdana" w:eastAsia="Times New Roman" w:hAnsi="Verdana" w:cs="Times New Roman"/>
          <w:b/>
          <w:bCs/>
          <w:noProof/>
          <w:color w:val="333399"/>
          <w:lang w:val="ro-RO" w:eastAsia="ro-RO"/>
        </w:rPr>
        <w:drawing>
          <wp:inline distT="0" distB="0" distL="0" distR="0" wp14:anchorId="40D73C00" wp14:editId="1C25B0A2">
            <wp:extent cx="95250" cy="95250"/>
            <wp:effectExtent l="0" t="0" r="0" b="0"/>
            <wp:docPr id="8" name="do|arV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V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r w:rsidRPr="007C5F06">
        <w:rPr>
          <w:rFonts w:ascii="Verdana" w:eastAsia="Times New Roman" w:hAnsi="Verdana" w:cs="Times New Roman"/>
          <w:b/>
          <w:bCs/>
          <w:color w:val="0000AF"/>
          <w:lang w:val="ro-RO" w:eastAsia="ro-RO"/>
        </w:rPr>
        <w:t>Art. V</w:t>
      </w:r>
    </w:p>
    <w:p w14:paraId="76BB6B75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23" w:name="do|arV|pa1"/>
      <w:bookmarkEnd w:id="23"/>
      <w:r w:rsidRPr="007C5F06">
        <w:rPr>
          <w:rFonts w:ascii="Verdana" w:eastAsia="Times New Roman" w:hAnsi="Verdana" w:cs="Times New Roman"/>
          <w:lang w:val="ro-RO" w:eastAsia="ro-RO"/>
        </w:rPr>
        <w:t xml:space="preserve">Ministerul Transporturilor, Infrastructurii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Comunicaţiilor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, prin Compania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Naţională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de Administrare a Infrastructurii Rutiere - S.A., răspunde de modul de utilizare, în conformitate cu prevederile legale, a sumei alocate potrivit prevederilor prezentei hotărâri, precum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de corectitudinea datelor înscrise în documentele care au stat la baza stabilirii acesteia.</w:t>
      </w:r>
    </w:p>
    <w:p w14:paraId="0F165A60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24" w:name="do|pa4"/>
      <w:bookmarkEnd w:id="24"/>
      <w:r w:rsidRPr="007C5F06">
        <w:rPr>
          <w:rFonts w:ascii="Verdana" w:eastAsia="Times New Roman" w:hAnsi="Verdana" w:cs="Times New Roman"/>
          <w:lang w:val="ro-RO"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C5F06" w:rsidRPr="007C5F06" w14:paraId="7CFAA900" w14:textId="77777777" w:rsidTr="007C5F06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6795BF0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bookmarkStart w:id="25" w:name="do|pa5"/>
            <w:bookmarkEnd w:id="25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PRIM-MINISTRU</w:t>
            </w:r>
          </w:p>
          <w:p w14:paraId="76CF866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LUDOVIC ORBAN</w:t>
            </w:r>
          </w:p>
          <w:p w14:paraId="12640319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Contrasemnează:</w:t>
            </w:r>
          </w:p>
          <w:p w14:paraId="21D79C4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p. Ministrul transporturilor, infrastructurii </w:t>
            </w:r>
            <w:proofErr w:type="spellStart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comunicaţiilor</w:t>
            </w:r>
            <w:proofErr w:type="spellEnd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,</w:t>
            </w:r>
          </w:p>
          <w:p w14:paraId="6793A44A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 xml:space="preserve">Ionel </w:t>
            </w:r>
            <w:proofErr w:type="spellStart"/>
            <w:r w:rsidRPr="007C5F0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Scrioşteanu</w:t>
            </w:r>
            <w:proofErr w:type="spellEnd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,</w:t>
            </w:r>
          </w:p>
          <w:p w14:paraId="261289D2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secretar de stat</w:t>
            </w:r>
          </w:p>
          <w:p w14:paraId="303DF61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Ministrul </w:t>
            </w:r>
            <w:proofErr w:type="spellStart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finanţelor</w:t>
            </w:r>
            <w:proofErr w:type="spellEnd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publice,</w:t>
            </w:r>
          </w:p>
          <w:p w14:paraId="541677B1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 xml:space="preserve">Vasile-Florin </w:t>
            </w:r>
            <w:proofErr w:type="spellStart"/>
            <w:r w:rsidRPr="007C5F0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Cîţu</w:t>
            </w:r>
            <w:proofErr w:type="spellEnd"/>
          </w:p>
        </w:tc>
      </w:tr>
    </w:tbl>
    <w:p w14:paraId="37324DD3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26" w:name="do|ax1"/>
      <w:r w:rsidRPr="007C5F06">
        <w:rPr>
          <w:rFonts w:ascii="Verdana" w:eastAsia="Times New Roman" w:hAnsi="Verdana" w:cs="Times New Roman"/>
          <w:b/>
          <w:bCs/>
          <w:noProof/>
          <w:color w:val="333399"/>
          <w:lang w:val="ro-RO" w:eastAsia="ro-RO"/>
        </w:rPr>
        <w:drawing>
          <wp:inline distT="0" distB="0" distL="0" distR="0" wp14:anchorId="6CF5E827" wp14:editId="30D80DF0">
            <wp:extent cx="95250" cy="95250"/>
            <wp:effectExtent l="0" t="0" r="0" b="0"/>
            <wp:docPr id="9" name="do|ax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ANEXĂ:</w:t>
      </w:r>
      <w:r w:rsidRPr="007C5F06">
        <w:rPr>
          <w:rFonts w:ascii="Verdana" w:eastAsia="Times New Roman" w:hAnsi="Verdana" w:cs="Times New Roman"/>
          <w:lang w:val="ro-RO" w:eastAsia="ro-RO"/>
        </w:rPr>
        <w:t xml:space="preserve"> </w:t>
      </w:r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LISTA cuprinzând imobilele proprietate privată care fac parte din coridorul de expropriere al lucrării de utilitate publică "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Construcţia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autostrăzii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Bucureşti-Braşov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, tronsonul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Bucureşti-Ploieşti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, pe teritoriul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localităţilor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Dascălu,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Ştefăneştii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de Jos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Nuci,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judeţul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Ilfov", proprietarii sau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deţinătorii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acestora, precum </w:t>
      </w:r>
      <w:proofErr w:type="spellStart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sumele individuale aferente despăgubirilor</w:t>
      </w:r>
    </w:p>
    <w:p w14:paraId="1FE075FD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27" w:name="do|ax1|pa1"/>
      <w:bookmarkEnd w:id="27"/>
      <w:r w:rsidRPr="007C5F06">
        <w:rPr>
          <w:rFonts w:ascii="Verdana" w:eastAsia="Times New Roman" w:hAnsi="Verdana" w:cs="Times New Roman"/>
          <w:lang w:val="ro-RO" w:eastAsia="ro-RO"/>
        </w:rPr>
        <w:t xml:space="preserve">(- Anexa nr. 3 la Hotărârea Guvernului nr. </w:t>
      </w:r>
      <w:hyperlink r:id="rId13" w:history="1">
        <w:r w:rsidRPr="007C5F06">
          <w:rPr>
            <w:rFonts w:ascii="Verdana" w:eastAsia="Times New Roman" w:hAnsi="Verdana" w:cs="Times New Roman"/>
            <w:b/>
            <w:bCs/>
            <w:color w:val="333399"/>
            <w:u w:val="single"/>
            <w:lang w:val="ro-RO" w:eastAsia="ro-RO"/>
          </w:rPr>
          <w:t>425/2008</w:t>
        </w:r>
      </w:hyperlink>
      <w:r w:rsidRPr="007C5F06">
        <w:rPr>
          <w:rFonts w:ascii="Verdana" w:eastAsia="Times New Roman" w:hAnsi="Verdana" w:cs="Times New Roman"/>
          <w:lang w:val="ro-RO" w:eastAsia="ro-RO"/>
        </w:rPr>
        <w:t>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540"/>
        <w:gridCol w:w="995"/>
        <w:gridCol w:w="1266"/>
        <w:gridCol w:w="1101"/>
        <w:gridCol w:w="912"/>
        <w:gridCol w:w="701"/>
        <w:gridCol w:w="978"/>
        <w:gridCol w:w="631"/>
        <w:gridCol w:w="714"/>
        <w:gridCol w:w="747"/>
        <w:gridCol w:w="870"/>
      </w:tblGrid>
      <w:tr w:rsidR="007C5F06" w:rsidRPr="007C5F06" w14:paraId="1C515E60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38B1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bookmarkStart w:id="28" w:name="do|ax1|pa2"/>
            <w:bookmarkEnd w:id="28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Nr. crt.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803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Judeţul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AF3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Unitatea administrativ-teritorială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2E35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Numele </w:t>
            </w:r>
            <w:proofErr w:type="spellStart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prenumele proprietarului/ </w:t>
            </w:r>
            <w:proofErr w:type="spellStart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deţinătorului</w:t>
            </w:r>
            <w:proofErr w:type="spellEnd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imobilului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793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Tarlaua/Parcela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04FE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Extravilan/ Intravilan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8D5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Categoria de </w:t>
            </w:r>
            <w:proofErr w:type="spellStart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folosinţă</w:t>
            </w:r>
            <w:proofErr w:type="spellEnd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a terenului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3EC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Numărul cadastral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451B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Numărul </w:t>
            </w:r>
            <w:proofErr w:type="spellStart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cărţii</w:t>
            </w:r>
            <w:proofErr w:type="spellEnd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funciare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63A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Suprafaţa</w:t>
            </w:r>
            <w:proofErr w:type="spellEnd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totală (mp)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8BF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Suprafaţa</w:t>
            </w:r>
            <w:proofErr w:type="spellEnd"/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terenului de expropriat</w:t>
            </w:r>
          </w:p>
          <w:p w14:paraId="4878307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(mp)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C4A9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Valoarea despăgubirii imobilului conform Legii nr. </w:t>
            </w:r>
            <w:hyperlink r:id="rId14" w:history="1">
              <w:r w:rsidRPr="007C5F06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val="ro-RO" w:eastAsia="ro-RO"/>
                </w:rPr>
                <w:t>255/2010</w:t>
              </w:r>
            </w:hyperlink>
          </w:p>
          <w:p w14:paraId="0DCD696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(lei)</w:t>
            </w:r>
          </w:p>
        </w:tc>
      </w:tr>
      <w:tr w:rsidR="007C5F06" w:rsidRPr="007C5F06" w14:paraId="0CBE5F85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471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27D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87FA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664D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61B5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0609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8AB1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993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C8EC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B57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64C2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127BD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12</w:t>
            </w:r>
          </w:p>
        </w:tc>
      </w:tr>
      <w:tr w:rsidR="007C5F06" w:rsidRPr="007C5F06" w14:paraId="6881811E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32D55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F02AD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676CC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DASCĂLU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842AF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DUMITRESCU LIVIU-PAUL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2ED7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24/103/21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DE445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B21AE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7D85E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482/3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64EA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3853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04BE3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C060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F133A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166,53</w:t>
            </w:r>
          </w:p>
        </w:tc>
      </w:tr>
      <w:tr w:rsidR="007C5F06" w:rsidRPr="007C5F06" w14:paraId="725C9A2C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34F1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CF99E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164F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DASCĂLU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1D4E7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S.C. SPAIKI INVESTMENT - S.R.L.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173A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25/104/113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F211D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64601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86092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652/1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6A1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52564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C2F9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12079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AFDB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415FE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383,01</w:t>
            </w:r>
          </w:p>
        </w:tc>
      </w:tr>
      <w:tr w:rsidR="007C5F06" w:rsidRPr="007C5F06" w14:paraId="263B1A10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36F3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E53BD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F73CA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DASCĂLU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A0F70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COMUNA DASCĂLU**)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E352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25/104/48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3C45E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0FC21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53761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2662/1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89B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0EBB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0CAD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171E4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3.830,15</w:t>
            </w:r>
          </w:p>
        </w:tc>
      </w:tr>
      <w:tr w:rsidR="007C5F06" w:rsidRPr="007C5F06" w14:paraId="461A0851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3904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3FEE4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642A6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NUCI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C1A2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PROPRIETAR NEIDENTIFICAT*)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C29D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1/1/1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C33F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80CD2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0B253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F26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1CBA8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EF59A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0DB4E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271,54</w:t>
            </w:r>
          </w:p>
        </w:tc>
      </w:tr>
      <w:tr w:rsidR="007C5F06" w:rsidRPr="007C5F06" w14:paraId="52111EA8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DE21D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878CE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63DC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NUCI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6AD69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PROPRIETAR NEIDENTIFICAT*)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781B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8 88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82AF5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0544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8031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F0F5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7D228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7546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5F243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7.546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BFB3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37.979,99</w:t>
            </w:r>
          </w:p>
        </w:tc>
      </w:tr>
      <w:tr w:rsidR="007C5F06" w:rsidRPr="007C5F06" w14:paraId="7245D5FB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1FD4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7C5D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5C118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ŞTEFĂNEŞTII DE JOS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D903C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S.C. ALEX COM PANIPROD 94 - S.R.L.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31175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41/348/1/27b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1902B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INTRAVILAN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49338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09DC3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140/1/3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3A8C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FFEAD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A0951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4336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516,98</w:t>
            </w:r>
          </w:p>
        </w:tc>
      </w:tr>
      <w:tr w:rsidR="007C5F06" w:rsidRPr="007C5F06" w14:paraId="0973BEF7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EE1E9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9EDB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4111A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ŞTEFĂNEŞTII DE JOS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0C83E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PROPRIETAR NEIDENTIFICAT*)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EDC6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41/348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A01C7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32F7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1ECE2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97A7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BCB2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485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C3E53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FDCB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4.339,68</w:t>
            </w:r>
          </w:p>
        </w:tc>
      </w:tr>
      <w:tr w:rsidR="007C5F06" w:rsidRPr="007C5F06" w14:paraId="7D3BF27A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1B2B8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1FE07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B53CC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ŞTEFĂNEŞTII DE JOS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A7952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COMUNA ŞTEFĂNEŞTII DE JOS**)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D322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3/10/2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ADE10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CD0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653E4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D11F8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1D2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693892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634A4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E388A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644,24</w:t>
            </w:r>
          </w:p>
        </w:tc>
      </w:tr>
      <w:tr w:rsidR="007C5F06" w:rsidRPr="007C5F06" w14:paraId="26C3DB35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2555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F2730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F3946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ŞTEFĂNEŞTII DE JOS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50E4B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S.C. ALEX COM PANIPROD 94 - S.R.L.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2214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41/348/1/27B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24B19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INTRAVILAN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D66D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9CCF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140/4/1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A0B5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28F28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13246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AB6FD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AF05C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55,92</w:t>
            </w:r>
          </w:p>
        </w:tc>
      </w:tr>
      <w:tr w:rsidR="007C5F06" w:rsidRPr="007C5F06" w14:paraId="3DC65B74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D354E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lastRenderedPageBreak/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BBE3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EE967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ŞTEFĂNEŞTII DE JOS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EAAA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S.C. PHILIP MORRIS ROMÂNIA - S.R.L.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331DC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41/384/1/23, 384/24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C7DF2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INTRAVILAN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8692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6FED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74AC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56230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4C52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2255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C146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785D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1.590,72</w:t>
            </w:r>
          </w:p>
        </w:tc>
      </w:tr>
      <w:tr w:rsidR="007C5F06" w:rsidRPr="007C5F06" w14:paraId="34018C23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F3C84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189D1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0E621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ŞTEFĂNEŞTII DE JOS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9333D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S.C. WILLBROOK CONSTRUCT - S.R.L.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F8E4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47/348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292A3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INTRAVILAN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04452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9ADB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400/2/1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B3573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4769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E7E6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115298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188C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E989C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437,45</w:t>
            </w:r>
          </w:p>
        </w:tc>
      </w:tr>
      <w:tr w:rsidR="007C5F06" w:rsidRPr="007C5F06" w14:paraId="6D94CA75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9F11C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38336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D5F65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ŞTEFĂNEŞTII DE JOS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890B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GUINEA IONEL, ANGHEL MARIANA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365A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22/105/37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F9EC6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C303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7FC9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1106/1/1/3/1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2170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5025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64CD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4B948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166,40</w:t>
            </w:r>
          </w:p>
        </w:tc>
      </w:tr>
      <w:tr w:rsidR="007C5F06" w:rsidRPr="007C5F06" w14:paraId="7E080900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7D96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F14E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4E940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ŞTEFĂNEŞTII DE JOS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4E8A9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MOLDOVAN DINU VIOREL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E986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3/10/2/17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A9BBD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56B18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370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1095/3/2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CAA77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486EA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6314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87B8E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8A113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62,63</w:t>
            </w:r>
          </w:p>
        </w:tc>
      </w:tr>
      <w:tr w:rsidR="007C5F06" w:rsidRPr="007C5F06" w14:paraId="2DF7415B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E408F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F75A7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1815A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ŞTEFĂNEŞTII DE JOS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C32F0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MARINESCU MARIUS, MARINESCU DANIELA, CERCEL MARIN, CERCEL IULIANA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AE17B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2/6/19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D951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5DAA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1E1E0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761/3/1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34AD5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9BFA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5265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EB469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C243E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44,74</w:t>
            </w:r>
          </w:p>
        </w:tc>
      </w:tr>
      <w:tr w:rsidR="007C5F06" w:rsidRPr="007C5F06" w14:paraId="4ACB9153" w14:textId="77777777" w:rsidTr="007C5F0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0A04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3F9A6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ILFOV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CFFA4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ŞTEFĂNEŞTII DE JOS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80D9B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PROPRIETAR NEIDENTIFICAT*)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EC863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41/348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A74B1" w14:textId="77777777" w:rsidR="007C5F06" w:rsidRPr="007C5F06" w:rsidRDefault="007C5F06" w:rsidP="007C5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EXTRAVILAN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B69B1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27868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1E93C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D94E1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179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5311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8FF6C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1.601,65</w:t>
            </w:r>
          </w:p>
        </w:tc>
      </w:tr>
      <w:tr w:rsidR="007C5F06" w:rsidRPr="007C5F06" w14:paraId="386B187B" w14:textId="77777777" w:rsidTr="007C5F06">
        <w:trPr>
          <w:tblCellSpacing w:w="0" w:type="dxa"/>
        </w:trPr>
        <w:tc>
          <w:tcPr>
            <w:tcW w:w="42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F4BD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TOTAL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403D3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8.937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39796" w14:textId="77777777" w:rsidR="007C5F06" w:rsidRPr="007C5F06" w:rsidRDefault="007C5F06" w:rsidP="007C5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7C5F0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52.091,65</w:t>
            </w:r>
          </w:p>
        </w:tc>
      </w:tr>
    </w:tbl>
    <w:p w14:paraId="7F96E8FE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29" w:name="do|ax1|pa3"/>
      <w:bookmarkEnd w:id="29"/>
      <w:r w:rsidRPr="007C5F06">
        <w:rPr>
          <w:rFonts w:ascii="Verdana" w:eastAsia="Times New Roman" w:hAnsi="Verdana" w:cs="Times New Roman"/>
          <w:lang w:val="ro-RO" w:eastAsia="ro-RO"/>
        </w:rPr>
        <w:t>_____</w:t>
      </w:r>
    </w:p>
    <w:p w14:paraId="5B754EF5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30" w:name="do|ax1|pa4"/>
      <w:bookmarkEnd w:id="30"/>
      <w:r w:rsidRPr="007C5F06">
        <w:rPr>
          <w:rFonts w:ascii="Verdana" w:eastAsia="Times New Roman" w:hAnsi="Verdana" w:cs="Times New Roman"/>
          <w:lang w:val="ro-RO" w:eastAsia="ro-RO"/>
        </w:rPr>
        <w:t xml:space="preserve">*)Pentru toate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poziţiile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în care se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regăseşte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menţiunea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"proprietar necunoscut", astfel cum reiese din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evidenţele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oficiilor de cadastru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publicitate imobiliară sau ale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unităţilor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administrativ-teritoriale, numele proprietarilor/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deţinătorilor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vor fi identificate ulterior, în vederea completării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documentaţiilor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necesare pentru punerea în aplicare a măsurilor de expropriere, în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condiţiile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legii.</w:t>
      </w:r>
    </w:p>
    <w:p w14:paraId="3E63026B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31" w:name="do|ax1|pa5"/>
      <w:bookmarkEnd w:id="31"/>
      <w:r w:rsidRPr="007C5F06">
        <w:rPr>
          <w:rFonts w:ascii="Verdana" w:eastAsia="Times New Roman" w:hAnsi="Verdana" w:cs="Times New Roman"/>
          <w:lang w:val="ro-RO" w:eastAsia="ro-RO"/>
        </w:rPr>
        <w:t xml:space="preserve">**)Pentru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poziţiile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nr. crt. 3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şi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9 unde titularul dreptului de proprietate este unitatea administrativ-teritorială, terenurile în cauză sunt la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dispoziţia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comisiei de fond funciar, astfel cum reiese din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evidenţele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</w:t>
      </w:r>
      <w:proofErr w:type="spellStart"/>
      <w:r w:rsidRPr="007C5F06">
        <w:rPr>
          <w:rFonts w:ascii="Verdana" w:eastAsia="Times New Roman" w:hAnsi="Verdana" w:cs="Times New Roman"/>
          <w:lang w:val="ro-RO" w:eastAsia="ro-RO"/>
        </w:rPr>
        <w:t>unităţilor</w:t>
      </w:r>
      <w:proofErr w:type="spellEnd"/>
      <w:r w:rsidRPr="007C5F06">
        <w:rPr>
          <w:rFonts w:ascii="Verdana" w:eastAsia="Times New Roman" w:hAnsi="Verdana" w:cs="Times New Roman"/>
          <w:lang w:val="ro-RO" w:eastAsia="ro-RO"/>
        </w:rPr>
        <w:t xml:space="preserve"> administrativ-teritoriale.</w:t>
      </w:r>
    </w:p>
    <w:p w14:paraId="77608E8C" w14:textId="77777777" w:rsidR="007C5F06" w:rsidRPr="007C5F06" w:rsidRDefault="007C5F06" w:rsidP="007C5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 w:eastAsia="ro-RO"/>
        </w:rPr>
      </w:pPr>
      <w:bookmarkStart w:id="32" w:name="do|pa6"/>
      <w:bookmarkEnd w:id="32"/>
      <w:r w:rsidRPr="007C5F06">
        <w:rPr>
          <w:rFonts w:ascii="Verdana" w:eastAsia="Times New Roman" w:hAnsi="Verdana" w:cs="Times New Roman"/>
          <w:lang w:val="ro-RO" w:eastAsia="ro-RO"/>
        </w:rPr>
        <w:t>Publicat în Monitorul Oficial cu numărul 1235 din data de 16 decembrie 2020</w:t>
      </w:r>
    </w:p>
    <w:p w14:paraId="62BA7F51" w14:textId="77777777" w:rsidR="00D406CA" w:rsidRDefault="00D406CA"/>
    <w:sectPr w:rsidR="00D406CA" w:rsidSect="00D01A7D">
      <w:type w:val="evenPage"/>
      <w:pgSz w:w="11907" w:h="16840" w:code="9"/>
      <w:pgMar w:top="851" w:right="708" w:bottom="142" w:left="1411" w:header="0" w:footer="25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AF"/>
    <w:rsid w:val="007C5F06"/>
    <w:rsid w:val="00901542"/>
    <w:rsid w:val="00B21FAF"/>
    <w:rsid w:val="00D01A7D"/>
    <w:rsid w:val="00D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0104-837E-49CB-BA40-1498774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0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304540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126361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92820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18475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06294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82635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399176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701675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63669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82543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86598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4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080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76065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14521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378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15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68334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992454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76133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66610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82416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296725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36898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589295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16447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44339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83465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598234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180412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913571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77325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257230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26766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08300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54392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4324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8277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378747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2557082\00092141.htm" TargetMode="External"/><Relationship Id="rId13" Type="http://schemas.openxmlformats.org/officeDocument/2006/relationships/hyperlink" Target="file:///C:\Users\User\sintact%204.0\cache\Legislatie\temp2557082\0011145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2557082\00111456.htm" TargetMode="External"/><Relationship Id="rId12" Type="http://schemas.openxmlformats.org/officeDocument/2006/relationships/hyperlink" Target="file:///C:\Users\User\sintact%204.0\cache\Legislatie\temp2557082\00111456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2557082\00111456.htm" TargetMode="External"/><Relationship Id="rId11" Type="http://schemas.openxmlformats.org/officeDocument/2006/relationships/hyperlink" Target="file:///C:\Users\User\sintact%204.0\cache\Legislatie\temp2557082\00111456.ht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file:///C:\Users\User\sintact%204.0\cache\Legislatie\temp2557082\00111456.htm" TargetMode="External"/><Relationship Id="rId4" Type="http://schemas.openxmlformats.org/officeDocument/2006/relationships/hyperlink" Target="file:///C:\Users\User\sintact%204.0\cache\Legislatie\temp2557082\00216227.HTM" TargetMode="External"/><Relationship Id="rId9" Type="http://schemas.openxmlformats.org/officeDocument/2006/relationships/hyperlink" Target="file:///C:\Users\User\sintact%204.0\cache\Legislatie\temp2557082\00136744.htm" TargetMode="External"/><Relationship Id="rId14" Type="http://schemas.openxmlformats.org/officeDocument/2006/relationships/hyperlink" Target="file:///C:\Users\User\sintact%204.0\cache\Legislatie\temp2557082\0013674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1412</Words>
  <Characters>8195</Characters>
  <Application>Microsoft Office Word</Application>
  <DocSecurity>0</DocSecurity>
  <Lines>68</Lines>
  <Paragraphs>19</Paragraphs>
  <ScaleCrop>false</ScaleCrop>
  <Company>CNAIR SA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2021-01-11T13:21:00Z</dcterms:created>
  <dcterms:modified xsi:type="dcterms:W3CDTF">2021-01-11T13:38:00Z</dcterms:modified>
</cp:coreProperties>
</file>